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317 vom 1. Dezember 1988</w:t>
      </w:r>
    </w:p>
    <w:p>
      <w:r>
        <w:t>Bundesgericht (BGE), 1988-12-01, DE</w:t>
      </w:r>
    </w:p>
    <w:p>
      <w:r>
        <w:rPr>
          <w:b/>
        </w:rPr>
        <w:t xml:space="preserve">Quelle: </w:t>
      </w:r>
      <w:r>
        <w:t>https://mcp.opencaselaw.ch/entscheid/bge_114 IB 317</w:t>
      </w:r>
    </w:p>
    <w:p>
      <w:r>
        <w:t>FR: BGE 114 IB 317 du 1 décembre 1988</w:t>
      </w:r>
    </w:p>
    <w:p>
      <w:r>
        <w:t>IT: BGE 114 IB 317 del 1 dicembre 1988</w:t>
      </w:r>
    </w:p>
    <w:p>
      <w:pPr>
        <w:pStyle w:val="Heading2"/>
      </w:pPr>
      <w:r>
        <w:t>Regeste</w:t>
      </w:r>
    </w:p>
    <w:p>
      <w:r>
        <w:t>Regeste Art. 24 Abs. 1 RPG; Standortgebundenheit eines unterirdischen Durchganges. 1. Das in Art. 24 Abs. 1 RPG enthaltene Erfordernis der Standortgebundenheit beruht auf der räumlichen Ordnungsvorstellung, das Kulturland und das Siedlungsgebiet zu trennen, den Siedlungsraum zu beschränken und das Land ausserhalb des baulichen Bereichs grundsätzlich von Überbauungen freizuhalten. Der Gesetzgeber hat insoweit die Interessenabwägung grundsätzlich selber abschliessend vorgenommen (E. 4a). 2. Ein unterirdischer Durchgang zwischen Wohnhaus und Garage als solcher ist nicht standortgebunden; er dient dem persönlichen Komfortbedürfnis, das der räumlichen Ordnungsvorstellung widerspricht (E. 4c). 3. Eine bestehende, zonenfremde Baute als solche rechtfertigt eine weitere Ausdehnung der zonenwidrigen Nutzung nicht und kann somit die Standortgebundenheit weiterer zonenfremder Anlagen nicht begründen (E. 4d).</w:t>
      </w:r>
    </w:p>
    <w:p>
      <w:pPr>
        <w:pStyle w:val="Heading2"/>
      </w:pPr>
      <w:r>
        <w:t>Erwägungen</w:t>
      </w:r>
    </w:p>
    <w:p>
      <w:r>
        <w:rPr>
          <w:b/>
        </w:rPr>
        <w:t>E. 4</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113 Ib 141 E. 5; BGE 112 Ib 102 ). a) Gemäss bundesgerichtlicher Rechtsprechung darf die Standortgebundenheit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 BGE 113 Ib 141 E. 5a; BGE 111 Ib 217 E. 3b). An diese Erfordernisse sind strenge Anforderungen zu stellen ( BGE 113 Ib 142 ), um der Zersiedlung der Landschaft entgegenzuwirken. Wie das Verwaltungsgericht zu Recht festhält, beruht diese Regelung auf der räumlichen Ordnungsvorstellung, das Kulturland und das Siedlungsgebiet zu trennen, den Siedlungsraum zu beschränken und das Land ausserhalb des baulichen Bereichs grundsätzlich von Überbauungen freizuhalten ( Art. 3 Abs. 2 und 3 RPG ). Der Gesetzgeber hat somit grundsätzlich selber eine Interessenabwägung vorgenommen; die Baubewilligungs- und die entsprechende Rechtsmittelbehörde hat sie lediglich anzuwenden. Hierin unterscheidet sich die Handhabung des Kriteriums der Standortgebundenheit ( Art. 24 Abs. 1 lit. a RPG ) von demjenigen der überwiegenden entgegenstehenden Interessen ( Art. 24 Abs. 1 lit. b RPG ). b) Die Beschwerdeführerin macht geltend, sie benötige den Durchgang, um trockenen Fusses vom Wohnhaus zur Garage zu gelangen, vor allem im Hinblick auf zunehmendes Alter und zunehmende Gebrechlichkeit. Das Verwaltungsgericht hält dem entgegen, der vorgesehene Durchgang sei aus sachlichen Gründen nicht auf einen Standort ausserhalb der Bauzone angewiesen. Das zonenwidrige Wohnhaus könne die Standortgebundenheit des Bauvorhabens nicht begründen. Im übrigen könnten die Garage und das Schwimmbad bereits heute vom Wohnhaus aus problemlos über den geteerten bzw. gekiesten Hausplatz erreicht werden, womit die Verbindung gewährleistet sei. Eine weitere interne Erschliessung BGE 114 Ib 317 S. 320 mittels unterirdischem Durchgang sei daher keineswegs erforderlich. c) Diesen verwaltungsgerichtlichen Überlegungen ist zuzustimmen. Es liegt auf der Hand, dass der unterirdische Durchgang als solcher nicht standortgebunden ist, sondern einem persönlichen Komfortbedürfnis entspringt, das der gesetzgeberischen räumlichen Ordnungsvorstellung widerspricht ( BGE 111 Ib 217 E. 3b, BGE 108 Ib 135 E. 3a; nicht veröffentlichtes Urteil des Bundesgerichts vom 2. März 1987 i.S. EJPD c. Wismer betreffend Minigolfanlage und Parkplatzerweiterung zu einem bestehenden Restaurant). Die Verhältnisse liegen hier nicht anders als bei einem Schwimmbad und einem Gartenhaus, das ein Bauherr in der Nähe seines Privathauses errichten wollte. Auch in diesem Fall fand das Bundesgericht, der Wunsch danach entspreche nicht einem Bedürfnis, das im Hinblick auf die sinnvolle Nutzung der Wohnliegenschaft als sachlich ausgewiesen oder gar notwendig erscheine. Dieses Ergebnis könne für einen Bauherrn, der seinerzeit rechtens gebaut habe und dessen Liegenschaft nunmehr zonenwidrig geworden sei, eine gewisse Härte bedeuten. Diese Härte sei indessen vom Bundesgesetzgeber im Interesse einer klaren Trennung von Siedlungs- und Nichtsiedlungsgebiet, die zur Vermeidung der Zersiedlung der Landschaft nötig sei, bewusst in Kauf genommen worden (nicht veröffentlichtes Urteil des Bundesgerichts vom 23. Mai 1986 i.S. Mayer c. Weinfelden betreffend Schwimmbad und Gartenhaus). d) Die Standortgebundenheit kann auch nicht aus der Tatsache hergeleitet werden, dass der Durchgang dem bestehenden Wohnhaus dient, da eine bestehende, zonenfremde Baute als solche eine weitere Ausdehnung der zonenwidrigen Nutzung nicht rechtfertigen und somit die Standortgebundenheit für weitere zonenfremde Anlagen nicht begründen kann (nicht veröffentlichte Urteile des Bundesgerichts vom 20. Mai 1987 i.S. Schärer E. 3, vom 2. März 1987 i.S. EJPD c. Wismer E. 3a und vom 18. März 1981 i.S. Henselmann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